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劳动争议处理概论</w:t>
      </w:r>
    </w:p>
    <w:p>
      <w:r>
        <w:rPr>
          <w:rFonts w:ascii="宋体" w:hAnsi="宋体" w:eastAsia="宋体"/>
          <w:sz w:val="24"/>
        </w:rPr>
        <w:t>范战江主编；劳动部职业技能开发司、人事司组织编写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劳动争议处理概论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范战江主编；劳动部职业技能开发司、人事司组织编写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本书出售、求购地址：https://www.jiaokey.com/book/detail/11055890.html</w:t>
      </w:r>
    </w:p>
    <w:p>
      <w:r>
        <w:t>更多相关图书推荐：https://www.jiaokey.com</w:t>
      </w:r>
    </w:p>
    <w:p>
      <w:r>
        <w:t>范战江主编；劳动部职业技能开发司、人事司组织编写 其他作品：https://www.jiaokey.com/tag/范战江主编；劳动部职业技能开发司、人事司组织编写.html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关键词搜索：https://www.jiaokey.com/tag/劳动争议处理概论.html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