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接触焊接原理</w:t>
      </w:r>
    </w:p>
    <w:p>
      <w:r>
        <w:rPr>
          <w:rFonts w:ascii="宋体" w:hAnsi="宋体" w:eastAsia="宋体"/>
          <w:sz w:val="24"/>
        </w:rPr>
        <w:t>（苏）柯切尔金（К.А.Кочергин）著；王存纳，汤菊生译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接触焊接原理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（苏）柯切尔金（К.А.Кочергин）著；王存纳，汤菊生译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本书出售、求购地址：https://www.jiaokey.com/book/detail/11060185.html</w:t>
      </w:r>
    </w:p>
    <w:p>
      <w:r>
        <w:t>更多相关图书推荐：https://www.jiaokey.com</w:t>
      </w:r>
    </w:p>
    <w:p>
      <w:r>
        <w:t>（苏）柯切尔金（К.А.Кочергин）著；王存纳，汤菊生译 其他作品：https://www.jiaokey.com/tag/（苏）柯切尔金（К.А.Кочергин）著；王存纳，汤菊生译.html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关键词搜索：https://www.jiaokey.com/tag/接触焊接原理.html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