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焊接车间设计原理</w:t>
      </w:r>
    </w:p>
    <w:p>
      <w:r>
        <w:rPr>
          <w:rFonts w:ascii="宋体" w:hAnsi="宋体" w:eastAsia="宋体"/>
          <w:sz w:val="24"/>
        </w:rPr>
        <w:t>（苏）克拉索夫斯基（А.И.Красовский）著；第一机械工业部设计总局译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焊接车间设计原理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（苏）克拉索夫斯基（А.И.Красовский）著；第一机械工业部设计总局译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本书出售、求购地址：https://www.jiaokey.com/book/detail/11060189.html</w:t>
      </w:r>
    </w:p>
    <w:p>
      <w:r>
        <w:t>更多相关图书推荐：https://www.jiaokey.com</w:t>
      </w:r>
    </w:p>
    <w:p>
      <w:r>
        <w:t>（苏）克拉索夫斯基（А.И.Красовский）著；第一机械工业部设计总局译 其他作品：https://www.jiaokey.com/tag/（苏）克拉索夫斯基（А.И.Красовский）著；第一机械工业部设计总局译.html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关键词搜索：https://www.jiaokey.com/tag/焊接车间设计原理.html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