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公用事业煤气设备的装置和使用</w:t>
      </w:r>
    </w:p>
    <w:p>
      <w:r>
        <w:rPr>
          <w:rFonts w:ascii="宋体" w:hAnsi="宋体" w:eastAsia="宋体"/>
          <w:sz w:val="24"/>
        </w:rPr>
        <w:t>（苏）什莱兹涅科娃（М.А.Железнякова），（苏）克柳叶娃（Е.П.Клюева）著；徐春生译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公用事业煤气设备的装置和使用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（苏）什莱兹涅科娃（М.А.Железнякова），（苏）克柳叶娃（Е.П.Клюева）著；徐春生译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本书出售、求购地址：https://www.jiaokey.com/book/detail/11066567.html</w:t>
      </w:r>
    </w:p>
    <w:p>
      <w:r>
        <w:t>更多相关图书推荐：https://www.jiaokey.com</w:t>
      </w:r>
    </w:p>
    <w:p>
      <w:r>
        <w:t>（苏）什莱兹涅科娃（М.А.Железнякова），（苏）克柳叶娃（Е.П.Клюева）著；徐春生译 其他作品：https://www.jiaokey.com/tag/（苏）什莱兹涅科娃（М.А.Железнякова），（苏）克柳叶娃（Е.П.Клюева）著；徐春生译.html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关键词搜索：https://www.jiaokey.com/tag/公用事业煤气设备的装置和使用.html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