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交流高压开关设备的结构</w:t>
      </w:r>
    </w:p>
    <w:p>
      <w:r>
        <w:rPr>
          <w:rFonts w:ascii="宋体" w:hAnsi="宋体" w:eastAsia="宋体"/>
          <w:sz w:val="24"/>
        </w:rPr>
        <w:t>（苏）阿范纳西耶夫（В.В.Афанасьев）撰；交通大学电器制造教研室译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2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交流高压开关设备的结构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（苏）阿范纳西耶夫（В.В.Афанасьев）撰；交通大学电器制造教研室译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开关(学科: 结构)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本书出售、求购地址：https://www.jiaokey.com/book/detail/11072099.html</w:t>
      </w:r>
    </w:p>
    <w:p>
      <w:r>
        <w:t>更多相关图书推荐：https://www.jiaokey.com</w:t>
      </w:r>
    </w:p>
    <w:p>
      <w:r>
        <w:t>（苏）阿范纳西耶夫（В.В.Афанасьев）撰；交通大学电器制造教研室译 其他作品：https://www.jiaokey.com/tag/（苏）阿范纳西耶夫（В.В.Афанасьев）撰；交通大学电器制造教研室译.html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关键词搜索：https://www.jiaokey.com/tag/开关(学科: 结构).html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