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住宅成套标准设计法</w:t>
      </w:r>
    </w:p>
    <w:p>
      <w:r>
        <w:rPr>
          <w:rFonts w:ascii="宋体" w:hAnsi="宋体" w:eastAsia="宋体"/>
          <w:sz w:val="24"/>
        </w:rPr>
        <w:t>（苏）普列新（Б.Д.Плессеин），（苏）斯米尔诺夫（Н.Н.Смирнов）著；城市建设总局译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住宅成套标准设计法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（苏）普列新（Б.Д.Плессеин），（苏）斯米尔诺夫（Н.Н.Смирнов）著；城市建设总局译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本书出售、求购地址：https://www.jiaokey.com/book/detail/11075423.html</w:t>
      </w:r>
    </w:p>
    <w:p>
      <w:r>
        <w:t>更多相关图书推荐：https://www.jiaokey.com</w:t>
      </w:r>
    </w:p>
    <w:p>
      <w:r>
        <w:t>（苏）普列新（Б.Д.Плессеин），（苏）斯米尔诺夫（Н.Н.Смирнов）著；城市建设总局译 其他作品：https://www.jiaokey.com/tag/（苏）普列新（Б.Д.Плессеин），（苏）斯米尔诺夫（Н.Н.Смирнов）著；城市建设总局译.html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关键词搜索：https://www.jiaokey.com/tag/住宅成套标准设计法.html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