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公检法司及仲裁机构受案范围、立案标准和办案程序</w:t>
      </w:r>
    </w:p>
    <w:p>
      <w:r>
        <w:rPr>
          <w:rFonts w:ascii="宋体" w:hAnsi="宋体" w:eastAsia="宋体"/>
          <w:sz w:val="24"/>
        </w:rPr>
        <w:t>《公检法司及仲裁机构受案范围、立案标准和办案程序》乔军等编著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公检法司及仲裁机构受案范围、立案标准和办案程序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《公检法司及仲裁机构受案范围、立案标准和办案程序》乔军等编著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本书出售、求购地址：https://www.jiaokey.com/book/detail/11076074.html</w:t>
      </w:r>
    </w:p>
    <w:p>
      <w:r>
        <w:t>更多相关图书推荐：https://www.jiaokey.com</w:t>
      </w:r>
    </w:p>
    <w:p>
      <w:r>
        <w:t>《公检法司及仲裁机构受案范围、立案标准和办案程序》乔军等编著 其他作品：https://www.jiaokey.com/tag/《公检法司及仲裁机构受案范围、立案标准和办案程序》乔军等编著.html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关键词搜索：https://www.jiaokey.com/tag/公检法司及仲裁机构受案范围、立案标准和办案程序.html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