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时新毛衫编织技法</w:t>
      </w:r>
    </w:p>
    <w:p>
      <w:r>
        <w:rPr>
          <w:rFonts w:ascii="宋体" w:hAnsi="宋体" w:eastAsia="宋体"/>
          <w:sz w:val="24"/>
        </w:rPr>
        <w:t>曲玉珠，严枫编译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时新毛衫编织技法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曲玉珠，严枫编译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本书出售、求购地址：https://www.jiaokey.com/book/detail/11083042.html</w:t>
      </w:r>
    </w:p>
    <w:p>
      <w:r>
        <w:t>更多相关图书推荐：https://www.jiaokey.com</w:t>
      </w:r>
    </w:p>
    <w:p>
      <w:r>
        <w:t>曲玉珠，严枫编译 其他作品：https://www.jiaokey.com/tag/曲玉珠，严枫编译.html</w:t>
      </w:r>
    </w:p>
    <w:p>
      <w:r>
        <w:t>北京：纺织工业出版社 出版图书：https://www.jiaokey.com/tag/北京：纺织工业出版社.html</w:t>
      </w:r>
    </w:p>
    <w:p>
      <w:r>
        <w:t>关键词搜索：https://www.jiaokey.com/tag/时新毛衫编织技法.html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