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PRO/E入门基础实例演练 （下册）  第5章  个人环境设置</w:t>
      </w:r>
    </w:p>
    <w:p>
      <w:r>
        <w:rPr>
          <w:rFonts w:ascii="宋体" w:hAnsi="宋体" w:eastAsia="宋体"/>
          <w:sz w:val="24"/>
        </w:rPr>
        <w:t>张益三  黄圣杰编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PRO/E入门基础实例演练 （下册）  第5章  个人环境设置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张益三  黄圣杰编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本书出售、求购地址：https://www.jiaokey.com/book/detail/11083244.html</w:t>
      </w:r>
    </w:p>
    <w:p>
      <w:r>
        <w:t>更多相关图书推荐：https://www.jiaokey.com</w:t>
      </w:r>
    </w:p>
    <w:p>
      <w:r>
        <w:t>张益三  黄圣杰编 其他作品：https://www.jiaokey.com/tag/张益三  黄圣杰编.html</w:t>
      </w:r>
    </w:p>
    <w:p>
      <w:r>
        <w:t>机械工业出版社 出版图书：https://www.jiaokey.com/tag/机械工业出版社.html</w:t>
      </w:r>
    </w:p>
    <w:p>
      <w:r>
        <w:t>关键词搜索：https://www.jiaokey.com/tag/PRO/E入门基础实例演练 （下册）  第5章  个人环境设置.html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