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宋代地方政府民事审判职能研究</w:t>
      </w:r>
    </w:p>
    <w:p>
      <w:r>
        <w:rPr>
          <w:rFonts w:ascii="宋体" w:hAnsi="宋体" w:eastAsia="宋体"/>
          <w:sz w:val="24"/>
        </w:rPr>
        <w:t>屈超立著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宋代地方政府民事审判职能研究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屈超立著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本书出售、求购地址：https://www.jiaokey.com/book/detail/11084797.html</w:t>
      </w:r>
    </w:p>
    <w:p>
      <w:r>
        <w:t>更多相关图书推荐：https://www.jiaokey.com</w:t>
      </w:r>
    </w:p>
    <w:p>
      <w:r>
        <w:t>屈超立著 其他作品：https://www.jiaokey.com/tag/屈超立著.html</w:t>
      </w:r>
    </w:p>
    <w:p>
      <w:r>
        <w:t>成都：巴蜀书社 出版图书：https://www.jiaokey.com/tag/成都：巴蜀书社.html</w:t>
      </w:r>
    </w:p>
    <w:p>
      <w:r>
        <w:t>关键词搜索：https://www.jiaokey.com/tag/宋代地方政府民事审判职能研究.html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