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适用于IBMPC286、386、486及其兼容机EGA·VGA高级图形编程指南</w:t>
      </w:r>
    </w:p>
    <w:p>
      <w:r>
        <w:rPr>
          <w:rFonts w:ascii="宋体" w:hAnsi="宋体" w:eastAsia="宋体"/>
          <w:sz w:val="24"/>
        </w:rPr>
        <w:t>（美）Bradley Dyck Kliewer著；张焱等译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适用于IBMPC286、386、486及其兼容机EGA·VGA高级图形编程指南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（美）Bradley Dyck Kliewer著；张焱等译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本书出售、求购地址：https://www.jiaokey.com/book/detail/11086686.html</w:t>
      </w:r>
    </w:p>
    <w:p>
      <w:r>
        <w:t>更多相关图书推荐：https://www.jiaokey.com</w:t>
      </w:r>
    </w:p>
    <w:p>
      <w:r>
        <w:t>（美）Bradley Dyck Kliewer著；张焱等译 其他作品：https://www.jiaokey.com/tag/（美）Bradley Dyck Kliewer著；张焱等译.html</w:t>
      </w:r>
    </w:p>
    <w:p>
      <w:r>
        <w:t>关键词搜索：https://www.jiaokey.com/tag/适用于IBMPC286、386、486及其兼容机EGA·VGA高级图形编程指南.html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