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全国普通高等学校金融学专业主干课程教学基本要求</w:t>
      </w:r>
    </w:p>
    <w:p>
      <w:r>
        <w:rPr>
          <w:rFonts w:ascii="宋体" w:hAnsi="宋体" w:eastAsia="宋体"/>
          <w:sz w:val="24"/>
        </w:rPr>
        <w:t>教育部高教司编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全国普通高等学校金融学专业主干课程教学基本要求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本书出售、求购地址：https://www.jiaokey.com/book/detail/11096203.html</w:t>
      </w:r>
    </w:p>
    <w:p>
      <w:r>
        <w:t>更多相关图书推荐：https://www.jiaokey.com</w:t>
      </w:r>
    </w:p>
    <w:p>
      <w:r>
        <w:t>教育部高教司编 其他作品：https://www.jiaokey.com/tag/教育部高教司编.html</w:t>
      </w:r>
    </w:p>
    <w:p>
      <w:r>
        <w:t>关键词搜索：https://www.jiaokey.com/tag/全国普通高等学校金融学专业主干课程教学基本要求.html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