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</w:t>
      </w:r>
    </w:p>
    <w:p>
      <w:r>
        <w:rPr>
          <w:rFonts w:ascii="宋体" w:hAnsi="宋体" w:eastAsia="宋体"/>
          <w:sz w:val="24"/>
        </w:rPr>
        <w:t>董世忠，赵建主编；上海市涉外法律人才培训中心组织编写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董世忠，赵建主编；上海市涉外法律人才培训中心组织编写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本书出售、求购地址：https://www.jiaokey.com/book/detail/11115865.html</w:t>
      </w:r>
    </w:p>
    <w:p>
      <w:r>
        <w:t>更多相关图书推荐：https://www.jiaokey.com</w:t>
      </w:r>
    </w:p>
    <w:p>
      <w:r>
        <w:t>董世忠，赵建主编；上海市涉外法律人才培训中心组织编写 其他作品：https://www.jiaokey.com/tag/董世忠，赵建主编；上海市涉外法律人才培训中心组织编写.html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