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ASME锅炉及压力容器规范  1  动力锅炉建造规则  2001版</w:t>
      </w:r>
    </w:p>
    <w:p>
      <w:r>
        <w:rPr>
          <w:rFonts w:ascii="宋体" w:hAnsi="宋体" w:eastAsia="宋体"/>
          <w:sz w:val="24"/>
        </w:rPr>
        <w:t>ASME 锅炉及压力容器委员会动力锅炉分委员会编著；中国《ASME规范产品》协作网（CACI）翻译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ASME锅炉及压力容器规范  1  动力锅炉建造规则  2001版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ASME 锅炉及压力容器委员会动力锅炉分委员会编著；中国《ASME规范产品》协作网（CACI）翻译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本书出售、求购地址：https://www.jiaokey.com/book/detail/11116072.html</w:t>
      </w:r>
    </w:p>
    <w:p>
      <w:r>
        <w:t>更多相关图书推荐：https://www.jiaokey.com</w:t>
      </w:r>
    </w:p>
    <w:p>
      <w:r>
        <w:t>ASME 锅炉及压力容器委员会动力锅炉分委员会编著；中国《ASME规范产品》协作网（CACI）翻译 其他作品：https://www.jiaokey.com/tag/ASME 锅炉及压力容器委员会动力锅炉分委员会编著；中国《ASME规范产品》协作网（CACI）翻译.html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关键词搜索：https://www.jiaokey.com/tag/ASME锅炉及压力容器规范  1  动力锅炉建造规则  2001版.html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