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分度头工作法</w:t>
      </w:r>
    </w:p>
    <w:p>
      <w:r>
        <w:rPr>
          <w:rFonts w:ascii="宋体" w:hAnsi="宋体" w:eastAsia="宋体"/>
          <w:sz w:val="24"/>
        </w:rPr>
        <w:t>（德）派克兰特（Willy Pockrandt）撰；严志良译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分度头工作法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（德）派克兰特（Willy Pockrandt）撰；严志良译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本书出售、求购地址：https://www.jiaokey.com/book/detail/11129282.html</w:t>
      </w:r>
    </w:p>
    <w:p>
      <w:r>
        <w:t>更多相关图书推荐：https://www.jiaokey.com</w:t>
      </w:r>
    </w:p>
    <w:p>
      <w:r>
        <w:t>（德）派克兰特（Willy Pockrandt）撰；严志良译 其他作品：https://www.jiaokey.com/tag/（德）派克兰特（Willy Pockrandt）撰；严志良译.html</w:t>
      </w:r>
    </w:p>
    <w:p>
      <w:r>
        <w:t>科学技术出版社 出版图书：https://www.jiaokey.com/tag/科学技术出版社.html</w:t>
      </w:r>
    </w:p>
    <w:p>
      <w:r>
        <w:t>关键词搜索：https://www.jiaokey.com/tag/分度头工作法.html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