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化学肥料和农药  果农菜家和花农实用指南</w:t>
      </w:r>
    </w:p>
    <w:p>
      <w:r>
        <w:rPr>
          <w:rFonts w:ascii="宋体" w:hAnsi="宋体" w:eastAsia="宋体"/>
          <w:sz w:val="24"/>
        </w:rPr>
        <w:t>（苏）格拉切夫（Д.Г.Грачев）著；王立功，管冬声译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化学肥料和农药  果农菜家和花农实用指南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（苏）格拉切夫（Д.Г.Грачев）著；王立功，管冬声译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本书出售、求购地址：https://www.jiaokey.com/book/detail/11147484.html</w:t>
      </w:r>
    </w:p>
    <w:p>
      <w:r>
        <w:t>更多相关图书推荐：https://www.jiaokey.com</w:t>
      </w:r>
    </w:p>
    <w:p>
      <w:r>
        <w:t>（苏）格拉切夫（Д.Г.Грачев）著；王立功，管冬声译 其他作品：https://www.jiaokey.com/tag/（苏）格拉切夫（Д.Г.Грачев）著；王立功，管冬声译.html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关键词搜索：https://www.jiaokey.com/tag/化学肥料和农药  果农菜家和花农实用指南.html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