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一、二等基线内业计算规范</w:t>
      </w:r>
    </w:p>
    <w:p>
      <w:r>
        <w:rPr>
          <w:rFonts w:ascii="宋体" w:hAnsi="宋体" w:eastAsia="宋体"/>
          <w:sz w:val="24"/>
        </w:rPr>
        <w:t>（苏）谢尔曼（Д.С.Шерман）著；中国人民解放军总参谋部测绘局编译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一、二等基线内业计算规范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（苏）谢尔曼（Д.С.Шерман）著；中国人民解放军总参谋部测绘局编译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中国人民解放军总参谋部测绘局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本书出售、求购地址：https://www.jiaokey.com/book/detail/11149901.html</w:t>
      </w:r>
    </w:p>
    <w:p>
      <w:r>
        <w:t>更多相关图书推荐：https://www.jiaokey.com</w:t>
      </w:r>
    </w:p>
    <w:p>
      <w:r>
        <w:t>（苏）谢尔曼（Д.С.Шерман）著；中国人民解放军总参谋部测绘局编译 其他作品：https://www.jiaokey.com/tag/（苏）谢尔曼（Д.С.Шерман）著；中国人民解放军总参谋部测绘局编译.html</w:t>
      </w:r>
    </w:p>
    <w:p>
      <w:r>
        <w:t>中国人民解放军总参谋部测绘局 出版图书：https://www.jiaokey.com/tag/中国人民解放军总参谋部测绘局.html</w:t>
      </w:r>
    </w:p>
    <w:p>
      <w:r>
        <w:t>关键词搜索：https://www.jiaokey.com/tag/一、二等基线内业计算规范.html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