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维也纳古典派作品</w:t>
      </w:r>
    </w:p>
    <w:p>
      <w:r>
        <w:rPr>
          <w:rFonts w:ascii="宋体" w:hAnsi="宋体" w:eastAsia="宋体"/>
          <w:sz w:val="24"/>
        </w:rPr>
        <w:t>（匈）柯尔奈尔·柴姆普莱尼编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维也纳古典派作品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（匈）柯尔奈尔·柴姆普莱尼编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本书出售、求购地址：https://www.jiaokey.com/book/detail/11172131.html</w:t>
      </w:r>
    </w:p>
    <w:p>
      <w:r>
        <w:t>更多相关图书推荐：https://www.jiaokey.com</w:t>
      </w:r>
    </w:p>
    <w:p>
      <w:r>
        <w:t>（匈）柯尔奈尔·柴姆普莱尼编 其他作品：https://www.jiaokey.com/tag/（匈）柯尔奈尔·柴姆普莱尼编.html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维也纳古典派作品.html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