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书名：中线才是金之一  散户赢利要素分析</w:t>
      </w:r>
    </w:p>
    <w:p>
      <w:r>
        <w:t>作者：郑建纲著</w:t>
      </w:r>
    </w:p>
    <w:p>
      <w:r>
        <w:t>出版社：广州：广东经济出版社</w:t>
      </w:r>
    </w:p>
    <w:p>
      <w:r>
        <w:t>出版日期：2001.04</w:t>
      </w:r>
    </w:p>
    <w:p>
      <w:r>
        <w:t>总页数：312</w:t>
      </w:r>
    </w:p>
    <w:p>
      <w:r>
        <w:t>更多请访问教客网: www.jiaokey.com</w:t>
      </w:r>
    </w:p>
    <w:p>
      <w:r>
        <w:t>中线才是金之一  散户赢利要素分析 评论地址：https://www.jiaokey.com/book/detail/11219248.html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