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XP疑难解答案例</w:t>
      </w:r>
    </w:p>
    <w:p>
      <w:r>
        <w:rPr>
          <w:rFonts w:ascii="宋体" w:hAnsi="宋体" w:eastAsia="宋体"/>
          <w:sz w:val="24"/>
        </w:rPr>
        <w:t>（美）南希·史帝文森（Nancy Steverson），（美）伊莱恩·马米（ Elaine Marmel）著；《视窗世界》编辑部译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XP疑难解答案例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（美）南希·史帝文森（Nancy Steverson），（美）伊莱恩·马米（ Elaine Marmel）著；《视窗世界》编辑部译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本书出售、求购地址：https://www.jiaokey.com/book/detail/11220144.html</w:t>
      </w:r>
    </w:p>
    <w:p>
      <w:r>
        <w:t>更多相关图书推荐：https://www.jiaokey.com</w:t>
      </w:r>
    </w:p>
    <w:p>
      <w:r>
        <w:t>（美）南希·史帝文森（Nancy Steverson），（美）伊莱恩·马米（ Elaine Marmel）著；《视窗世界》编辑部译 其他作品：https://www.jiaokey.com/tag/（美）南希·史帝文森（Nancy Steverson），（美）伊莱恩·马米（ Elaine Marmel）著；《视窗世界》编辑部译.html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XP疑难解答案例.html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