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</w:t>
      </w:r>
    </w:p>
    <w:p>
      <w:r>
        <w:rPr>
          <w:rFonts w:ascii="宋体" w:hAnsi="宋体" w:eastAsia="宋体"/>
          <w:sz w:val="24"/>
        </w:rPr>
        <w:t>徐炳松等主编；东北大学工程图学与计算机图学教研室编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徐炳松等主编；东北大学工程图学与计算机图学教研室编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本书出售、求购地址：https://www.jiaokey.com/book/detail/11239461.html</w:t>
      </w:r>
    </w:p>
    <w:p>
      <w:r>
        <w:t>更多相关图书推荐：https://www.jiaokey.com</w:t>
      </w:r>
    </w:p>
    <w:p>
      <w:r>
        <w:t>徐炳松等主编；东北大学工程图学与计算机图学教研室编 其他作品：https://www.jiaokey.com/tag/徐炳松等主编；东北大学工程图学与计算机图学教研室编.html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关键词搜索：https://www.jiaokey.com/tag/画法几何及机械制图.html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