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鲟鱼类的胚胎发育</w:t>
      </w:r>
    </w:p>
    <w:p>
      <w:r>
        <w:rPr>
          <w:rFonts w:ascii="宋体" w:hAnsi="宋体" w:eastAsia="宋体"/>
          <w:sz w:val="24"/>
        </w:rPr>
        <w:t>（苏）金兹堡（А.С.Гинзбуг），（苏）杰特拉弗（Т.А.Детлаф）著；张贵寅，赵尔宓译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鲟鱼类的胚胎发育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（苏）金兹堡（А.С.Гинзбуг），（苏）杰特拉弗（Т.А.Детлаф）著；张贵寅，赵尔宓译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本书出售、求购地址：https://www.jiaokey.com/book/detail/11245697.html</w:t>
      </w:r>
    </w:p>
    <w:p>
      <w:r>
        <w:t>更多相关图书推荐：https://www.jiaokey.com</w:t>
      </w:r>
    </w:p>
    <w:p>
      <w:r>
        <w:t>（苏）金兹堡（А.С.Гинзбуг），（苏）杰特拉弗（Т.А.Детлаф）著；张贵寅，赵尔宓译 其他作品：https://www.jiaokey.com/tag/（苏）金兹堡（А.С.Гинзбуг），（苏）杰特拉弗（Т.А.Детлаф）著；张贵寅，赵尔宓译.html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关键词搜索：https://www.jiaokey.com/tag/鲟鱼类的胚胎发育.html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