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药事组织</w:t>
      </w:r>
    </w:p>
    <w:p>
      <w:r>
        <w:rPr>
          <w:rFonts w:ascii="宋体" w:hAnsi="宋体" w:eastAsia="宋体"/>
          <w:sz w:val="24"/>
        </w:rPr>
        <w:t>（苏）塞曼柯，А.И.，（苏）梅里尼契柯，А.К.著；沈阳药学院药剂教研室药事组织学科译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（苏）塞曼柯，А.И.，（苏）梅里尼契柯，А.К.著；沈阳药学院药剂教研室药事组织学科译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本书出售、求购地址：https://www.jiaokey.com/book/detail/11245937.html</w:t>
      </w:r>
    </w:p>
    <w:p>
      <w:r>
        <w:t>更多相关图书推荐：https://www.jiaokey.com</w:t>
      </w:r>
    </w:p>
    <w:p>
      <w:r>
        <w:t>（苏）塞曼柯，А.И.，（苏）梅里尼契柯，А.К.著；沈阳药学院药剂教研室药事组织学科译 其他作品：https://www.jiaokey.com/tag/（苏）塞曼柯，А.И.，（苏）梅里尼契柯，А.К.著；沈阳药学院药剂教研室药事组织学科译.html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关键词搜索：https://www.jiaokey.com/tag/药事组织.html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