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</w:t>
      </w:r>
    </w:p>
    <w:p>
      <w:r>
        <w:rPr>
          <w:rFonts w:ascii="宋体" w:hAnsi="宋体" w:eastAsia="宋体"/>
          <w:sz w:val="24"/>
        </w:rPr>
        <w:t>（明）司守谦著；（明）程登吉著；琮琼译注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（明）司守谦著；（明）程登吉著；琮琼译注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汉语-语言读物-古代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本书出售、求购地址：https://www.jiaokey.com/book/detail/11248112.html</w:t>
      </w:r>
    </w:p>
    <w:p>
      <w:r>
        <w:t>更多相关图书推荐：https://www.jiaokey.com</w:t>
      </w:r>
    </w:p>
    <w:p>
      <w:r>
        <w:t>（明）司守谦著；（明）程登吉著；琮琼译注 其他作品：https://www.jiaokey.com/tag/（明）司守谦著；（明）程登吉著；琮琼译注.html</w:t>
      </w:r>
    </w:p>
    <w:p>
      <w:r>
        <w:t>关键词搜索：https://www.jiaokey.com/tag/汉语-语言读物-古代.html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