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立克次氏体与立克次氏病体</w:t>
      </w:r>
    </w:p>
    <w:p>
      <w:r>
        <w:rPr>
          <w:rFonts w:ascii="宋体" w:hAnsi="宋体" w:eastAsia="宋体"/>
          <w:sz w:val="24"/>
        </w:rPr>
        <w:t>（苏）兹德罗多符斯基，П.Х.（苏）果里涅维奇，Е.М.著；王慧等译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立克次氏体与立克次氏病体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（苏）兹德罗多符斯基，П.Х.（苏）果里涅维奇，Е.М.著；王慧等译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本书出售、求购地址：https://www.jiaokey.com/book/detail/11250719.html</w:t>
      </w:r>
    </w:p>
    <w:p>
      <w:r>
        <w:t>更多相关图书推荐：https://www.jiaokey.com</w:t>
      </w:r>
    </w:p>
    <w:p>
      <w:r>
        <w:t>（苏）兹德罗多符斯基，П.Х.（苏）果里涅维奇，Е.М.著；王慧等译 其他作品：https://www.jiaokey.com/tag/（苏）兹德罗多符斯基，П.Х.（苏）果里涅维奇，Е.М.著；王慧等译.html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关键词搜索：https://www.jiaokey.com/tag/立克次氏体与立克次氏病体.html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