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小麦的多倍体种</w:t>
      </w:r>
    </w:p>
    <w:p>
      <w:r>
        <w:rPr>
          <w:rFonts w:ascii="宋体" w:hAnsi="宋体" w:eastAsia="宋体"/>
          <w:sz w:val="24"/>
        </w:rPr>
        <w:t>（苏）日布拉克（А.Р.Жебрек）著；殷殿忠，王连铮译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小麦的多倍体种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（苏）日布拉克（А.Р.Жебрек）著；殷殿忠，王连铮译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本书出售、求购地址：https://www.jiaokey.com/book/detail/11268243.html</w:t>
      </w:r>
    </w:p>
    <w:p>
      <w:r>
        <w:t>更多相关图书推荐：https://www.jiaokey.com</w:t>
      </w:r>
    </w:p>
    <w:p>
      <w:r>
        <w:t>（苏）日布拉克（А.Р.Жебрек）著；殷殿忠，王连铮译 其他作品：https://www.jiaokey.com/tag/（苏）日布拉克（А.Р.Жебрек）著；殷殿忠，王连铮译.html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关键词搜索：https://www.jiaokey.com/tag/小麦的多倍体种.html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