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学习和劳动永远相结合</w:t>
      </w:r>
    </w:p>
    <w:p>
      <w:r>
        <w:rPr>
          <w:rFonts w:ascii="宋体" w:hAnsi="宋体" w:eastAsia="宋体"/>
          <w:sz w:val="24"/>
        </w:rPr>
        <w:t>（苏）普里列查耶娃，М.著；施肖华译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学习和劳动永远相结合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（苏）普里列查耶娃，М.著；施肖华译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本书出售、求购地址：https://www.jiaokey.com/book/detail/11276489.html</w:t>
      </w:r>
    </w:p>
    <w:p>
      <w:r>
        <w:t>更多相关图书推荐：https://www.jiaokey.com</w:t>
      </w:r>
    </w:p>
    <w:p>
      <w:r>
        <w:t>（苏）普里列查耶娃，М.著；施肖华译 其他作品：https://www.jiaokey.com/tag/（苏）普里列查耶娃，М.著；施肖华译.html</w:t>
      </w:r>
    </w:p>
    <w:p>
      <w:r>
        <w:t>科学技术出版社 出版图书：https://www.jiaokey.com/tag/科学技术出版社.html</w:t>
      </w:r>
    </w:p>
    <w:p>
      <w:r>
        <w:t>关键词搜索：https://www.jiaokey.com/tag/学习和劳动永远相结合.html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