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德国刑事诉讼程序</w:t>
      </w:r>
    </w:p>
    <w:p>
      <w:r>
        <w:rPr>
          <w:rFonts w:ascii="宋体" w:hAnsi="宋体" w:eastAsia="宋体"/>
          <w:sz w:val="24"/>
        </w:rPr>
        <w:t>（德）托马斯·魏根特（Thomas Weigend）著；岳礼玲，温小洁译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德国刑事诉讼程序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（德）托马斯·魏根特（Thomas Weigend）著；岳礼玲，温小洁译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本书出售、求购地址：https://www.jiaokey.com/book/detail/11280494.html</w:t>
      </w:r>
    </w:p>
    <w:p>
      <w:r>
        <w:t>更多相关图书推荐：https://www.jiaokey.com</w:t>
      </w:r>
    </w:p>
    <w:p>
      <w:r>
        <w:t>（德）托马斯·魏根特（Thomas Weigend）著；岳礼玲，温小洁译 其他作品：https://www.jiaokey.com/tag/（德）托马斯·魏根特（Thomas Weigend）著；岳礼玲，温小洁译.html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关键词搜索：https://www.jiaokey.com/tag/德国刑事诉讼程序.html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