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心脏内科疾病诊断治疗指南</w:t>
      </w:r>
    </w:p>
    <w:p>
      <w:r>
        <w:rPr>
          <w:rFonts w:ascii="宋体" w:hAnsi="宋体" w:eastAsia="宋体"/>
          <w:sz w:val="24"/>
        </w:rPr>
        <w:t>张泽灵主编；吴明，张泽灵，陈漠水，林劲，姚震，顾申红编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心脏内科疾病诊断治疗指南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张泽灵主编；吴明，张泽灵，陈漠水，林劲，姚震，顾申红编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本书出售、求购地址：https://www.jiaokey.com/book/detail/11288971.html</w:t>
      </w:r>
    </w:p>
    <w:p>
      <w:r>
        <w:t>更多相关图书推荐：https://www.jiaokey.com</w:t>
      </w:r>
    </w:p>
    <w:p>
      <w:r>
        <w:t>张泽灵主编；吴明，张泽灵，陈漠水，林劲，姚震，顾申红编 其他作品：https://www.jiaokey.com/tag/张泽灵主编；吴明，张泽灵，陈漠水，林劲，姚震，顾申红编.html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关键词搜索：https://www.jiaokey.com/tag/心脏内科疾病诊断治疗指南.html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