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优势能力 CFO需要的引领能力</w:t>
      </w:r>
    </w:p>
    <w:p>
      <w:r>
        <w:rPr>
          <w:rFonts w:ascii="宋体" w:hAnsi="宋体" w:eastAsia="宋体"/>
          <w:sz w:val="24"/>
        </w:rPr>
        <w:t>小弗雷德里克·C.米利泰罗（Frederick C.Militello，Jr.），迈克尔·D.施沃伯格（Michael D.Schwalberg） 戴炼译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优势能力 CFO需要的引领能力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小弗雷德里克·C.米利泰罗（Frederick C.Militello，Jr.），迈克尔·D.施沃伯格（Michael D.Schwalberg） 戴炼译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本书出售、求购地址：https://www.jiaokey.com/book/detail/11298796.html</w:t>
      </w:r>
    </w:p>
    <w:p>
      <w:r>
        <w:t>更多相关图书推荐：https://www.jiaokey.com</w:t>
      </w:r>
    </w:p>
    <w:p>
      <w:r>
        <w:t>小弗雷德里克·C.米利泰罗（Frederick C.Militello，Jr.），迈克尔·D.施沃伯格（Michael D.Schwalberg） 戴炼译 其他作品：https://www.jiaokey.com/tag/小弗雷德里克·C.米利泰罗（Frederick C.Militello，Jr.），迈克尔·D.施沃伯格（Michael D.Schwalberg） 戴炼译.html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关键词搜索：https://www.jiaokey.com/tag/优势能力 CFO需要的引领能力.html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