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超越分子前沿  化学与化学工程面临的挑战</w:t>
      </w:r>
    </w:p>
    <w:p>
      <w:r>
        <w:rPr>
          <w:rFonts w:ascii="宋体" w:hAnsi="宋体" w:eastAsia="宋体"/>
          <w:sz w:val="24"/>
        </w:rPr>
        <w:t>（美）21世纪化学科学的挑战委员会（Committee on Challenges for the Chemical Sciences in the 21st Century）著；陈尔强等译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超越分子前沿  化学与化学工程面临的挑战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（美）21世纪化学科学的挑战委员会（Committee on Challenges for the Chemical Sciences in the 21st Century）著；陈尔强等译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本书出售、求购地址：https://www.jiaokey.com/book/detail/11301468.html</w:t>
      </w:r>
    </w:p>
    <w:p>
      <w:r>
        <w:t>更多相关图书推荐：https://www.jiaokey.com</w:t>
      </w:r>
    </w:p>
    <w:p>
      <w:r>
        <w:t>（美）21世纪化学科学的挑战委员会（Committee on Challenges for the Chemical Sciences in the 21st Century）著；陈尔强等译 其他作品：https://www.jiaokey.com/tag/（美）21世纪化学科学的挑战委员会（Committee on Challenges for the Chemical Sciences in the 21st Century）著；陈尔强等译.html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关键词搜索：https://www.jiaokey.com/tag/超越分子前沿  化学与化学工程面临的挑战.html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