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标准国语注音  破音  释义  辨异四用辞典</w:t>
      </w:r>
    </w:p>
    <w:p>
      <w:r>
        <w:rPr>
          <w:rFonts w:ascii="宋体" w:hAnsi="宋体" w:eastAsia="宋体"/>
          <w:sz w:val="24"/>
        </w:rPr>
        <w:t>陶友白编著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标准国语注音  破音  释义  辨异四用辞典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本书出售、求购地址：https://www.jiaokey.com/book/detail/11325429.html</w:t>
      </w:r>
    </w:p>
    <w:p>
      <w:r>
        <w:t>更多相关图书推荐：https://www.jiaokey.com</w:t>
      </w:r>
    </w:p>
    <w:p>
      <w:r>
        <w:t>陶友白编著 其他作品：https://www.jiaokey.com/tag/陶友白编著.html</w:t>
      </w:r>
    </w:p>
    <w:p>
      <w:r>
        <w:t>新陆书局 出版图书：https://www.jiaokey.com/tag/新陆书局.html</w:t>
      </w:r>
    </w:p>
    <w:p>
      <w:r>
        <w:t>关键词搜索：https://www.jiaokey.com/tag/标准国语注音  破音  释义  辨异四用辞典.html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