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第二次全国代表大人经过概略及各种重要报告</w:t>
      </w:r>
    </w:p>
    <w:p>
      <w:r>
        <w:rPr>
          <w:rFonts w:ascii="宋体" w:hAnsi="宋体" w:eastAsia="宋体"/>
          <w:sz w:val="24"/>
        </w:rPr>
        <w:t>民国革命军第二军政治部编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第二次全国代表大人经过概略及各种重要报告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民国革命军第二军政治部编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民国革命军第二军政治部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本书出售、求购地址：https://www.jiaokey.com/book/detail/11348229.html</w:t>
      </w:r>
    </w:p>
    <w:p>
      <w:r>
        <w:t>更多相关图书推荐：https://www.jiaokey.com</w:t>
      </w:r>
    </w:p>
    <w:p>
      <w:r>
        <w:t>民国革命军第二军政治部编 其他作品：https://www.jiaokey.com/tag/民国革命军第二军政治部编.html</w:t>
      </w:r>
    </w:p>
    <w:p>
      <w:r>
        <w:t>民国革命军第二军政治部 出版图书：https://www.jiaokey.com/tag/民国革命军第二军政治部.html</w:t>
      </w:r>
    </w:p>
    <w:p>
      <w:r>
        <w:t>关键词搜索：https://www.jiaokey.com/tag/第二次全国代表大人经过概略及各种重要报告.html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