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中药材GAP技术</w:t>
      </w:r>
    </w:p>
    <w:p>
      <w:r>
        <w:rPr>
          <w:rFonts w:ascii="宋体" w:hAnsi="宋体" w:eastAsia="宋体"/>
          <w:sz w:val="24"/>
        </w:rPr>
        <w:t>全国医药职业技术教育研究会组织编；王书林主编；苏怀德，刘先齐主审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中药材GAP技术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全国医药职业技术教育研究会组织编；王书林主编；苏怀德，刘先齐主审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本书出售、求购地址：https://www.jiaokey.com/book/detail/11355147.html</w:t>
      </w:r>
    </w:p>
    <w:p>
      <w:r>
        <w:t>更多相关图书推荐：https://www.jiaokey.com</w:t>
      </w:r>
    </w:p>
    <w:p>
      <w:r>
        <w:t>全国医药职业技术教育研究会组织编；王书林主编；苏怀德，刘先齐主审 其他作品：https://www.jiaokey.com/tag/全国医药职业技术教育研究会组织编；王书林主编；苏怀德，刘先齐主审.html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关键词搜索：https://www.jiaokey.com/tag/中药材GAP技术.html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