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护理技术操作并发症及处理</w:t>
      </w:r>
    </w:p>
    <w:p>
      <w:r>
        <w:rPr>
          <w:rFonts w:ascii="宋体" w:hAnsi="宋体" w:eastAsia="宋体"/>
          <w:sz w:val="24"/>
        </w:rPr>
        <w:t>吴惠平，罗伟香主编；黄虹，李威，曾洪，李翠薇副主编；王晓萍，王维红，王增英，冯淑音，冯湘萍编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护理技术操作并发症及处理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吴惠平，罗伟香主编；黄虹，李威，曾洪，李翠薇副主编；王晓萍，王维红，王增英，冯淑音，冯湘萍编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本书出售、求购地址：https://www.jiaokey.com/book/detail/11355239.html</w:t>
      </w:r>
    </w:p>
    <w:p>
      <w:r>
        <w:t>更多相关图书推荐：https://www.jiaokey.com</w:t>
      </w:r>
    </w:p>
    <w:p>
      <w:r>
        <w:t>吴惠平，罗伟香主编；黄虹，李威，曾洪，李翠薇副主编；王晓萍，王维红，王增英，冯淑音，冯湘萍编 其他作品：https://www.jiaokey.com/tag/吴惠平，罗伟香主编；黄虹，李威，曾洪，李翠薇副主编；王晓萍，王维红，王增英，冯淑音，冯湘萍编.html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关键词搜索：https://www.jiaokey.com/tag/护理技术操作并发症及处理.html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