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红树林区管理指南</w:t>
      </w:r>
    </w:p>
    <w:p>
      <w:r>
        <w:rPr>
          <w:rFonts w:ascii="宋体" w:hAnsi="宋体" w:eastAsia="宋体"/>
          <w:sz w:val="24"/>
        </w:rPr>
        <w:t>（美）汉密尔顿（Hamilton，Lawrence S.），（美）斯内达克（Snedaker，Samuel.C.）著；郑义水，康代武译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红树林区管理指南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（美）汉密尔顿（Hamilton，Lawrence S.），（美）斯内达克（Snedaker，Samuel.C.）著；郑义水，康代武译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本书出售、求购地址：https://www.jiaokey.com/book/detail/11356972.html</w:t>
      </w:r>
    </w:p>
    <w:p>
      <w:r>
        <w:t>更多相关图书推荐：https://www.jiaokey.com</w:t>
      </w:r>
    </w:p>
    <w:p>
      <w:r>
        <w:t>（美）汉密尔顿（Hamilton，Lawrence S.），（美）斯内达克（Snedaker，Samuel.C.）著；郑义水，康代武译 其他作品：https://www.jiaokey.com/tag/（美）汉密尔顿（Hamilton，Lawrence S.），（美）斯内达克（Snedaker，Samuel.C.）著；郑义水，康代武译.html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关键词搜索：https://www.jiaokey.com/tag/红树林区管理指南.html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