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书名：制度等级利益  县级人大制度成长模式研究</w:t>
      </w:r>
    </w:p>
    <w:p>
      <w:r>
        <w:t>作者：何俊志著</w:t>
      </w:r>
    </w:p>
    <w:p>
      <w:r>
        <w:t>出版社：重庆：重庆出版社</w:t>
      </w:r>
    </w:p>
    <w:p>
      <w:r>
        <w:t>出版日期：2005.01</w:t>
      </w:r>
    </w:p>
    <w:p>
      <w:r>
        <w:t>总页数：323</w:t>
      </w:r>
    </w:p>
    <w:p>
      <w:r>
        <w:t>更多请访问教客网: www.jiaokey.com</w:t>
      </w:r>
    </w:p>
    <w:p>
      <w:r>
        <w:t>制度等级利益  县级人大制度成长模式研究 评论地址：https://www.jiaokey.com/book/detail/11394815.html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