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涉外企业所得税政策指南</w:t>
      </w:r>
    </w:p>
    <w:p>
      <w:r>
        <w:rPr>
          <w:rFonts w:ascii="宋体" w:hAnsi="宋体" w:eastAsia="宋体"/>
          <w:sz w:val="24"/>
        </w:rPr>
        <w:t>张国云，李新成主编；东营市国家税务局，胜利油田有限公司编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涉外企业所得税政策指南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张国云，李新成主编；东营市国家税务局，胜利油田有限公司编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本书出售、求购地址：https://www.jiaokey.com/book/detail/11409083.html</w:t>
      </w:r>
    </w:p>
    <w:p>
      <w:r>
        <w:t>更多相关图书推荐：https://www.jiaokey.com</w:t>
      </w:r>
    </w:p>
    <w:p>
      <w:r>
        <w:t>张国云，李新成主编；东营市国家税务局，胜利油田有限公司编 其他作品：https://www.jiaokey.com/tag/张国云，李新成主编；东营市国家税务局，胜利油田有限公司编.html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关键词搜索：https://www.jiaokey.com/tag/涉外企业所得税政策指南.html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