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建国后文艺战线两条路线斗争史文献和资料汇编  上</w:t>
      </w:r>
    </w:p>
    <w:p>
      <w:r>
        <w:rPr>
          <w:rFonts w:ascii="宋体" w:hAnsi="宋体" w:eastAsia="宋体"/>
          <w:sz w:val="24"/>
        </w:rPr>
        <w:t>吉林大学中文系，现代文学教研室编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建国后文艺战线两条路线斗争史文献和资料汇编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吉林大学中文系，现代文学教研室编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本书出售、求购地址：https://www.jiaokey.com/book/detail/11429930.html</w:t>
      </w:r>
    </w:p>
    <w:p>
      <w:r>
        <w:t>更多相关图书推荐：https://www.jiaokey.com</w:t>
      </w:r>
    </w:p>
    <w:p>
      <w:r>
        <w:t>吉林大学中文系，现代文学教研室编 其他作品：https://www.jiaokey.com/tag/吉林大学中文系，现代文学教研室编.html</w:t>
      </w:r>
    </w:p>
    <w:p>
      <w:r>
        <w:t>关键词搜索：https://www.jiaokey.com/tag/建国后文艺战线两条路线斗争史文献和资料汇编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