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Adobe数字艺术中心Audition电脑音频标准教材</w:t>
      </w:r>
    </w:p>
    <w:p>
      <w:r>
        <w:rPr>
          <w:rFonts w:ascii="宋体" w:hAnsi="宋体" w:eastAsia="宋体"/>
          <w:sz w:val="24"/>
        </w:rPr>
        <w:t>ADOBE公司北京代表处主编；《MIDI音乐制作》杂志社，汤楠编著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Adobe数字艺术中心Audition电脑音频标准教材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ADOBE公司北京代表处主编；《MIDI音乐制作》杂志社，汤楠编著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本书出售、求购地址：https://www.jiaokey.com/book/detail/11527239.html</w:t>
      </w:r>
    </w:p>
    <w:p>
      <w:r>
        <w:t>更多相关图书推荐：https://www.jiaokey.com</w:t>
      </w:r>
    </w:p>
    <w:p>
      <w:r>
        <w:t>ADOBE公司北京代表处主编；《MIDI音乐制作》杂志社，汤楠编著 其他作品：https://www.jiaokey.com/tag/ADOBE公司北京代表处主编；《MIDI音乐制作》杂志社，汤楠编著.html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关键词搜索：https://www.jiaokey.com/tag/Adobe数字艺术中心Audition电脑音频标准教材.html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