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不写错别字</w:t>
      </w:r>
    </w:p>
    <w:p>
      <w:r>
        <w:rPr>
          <w:rFonts w:ascii="宋体" w:hAnsi="宋体" w:eastAsia="宋体"/>
          <w:sz w:val="24"/>
        </w:rPr>
        <w:t>陈胜利著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不写错别字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陈胜利著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本书出售、求购地址：https://www.jiaokey.com/book/detail/11530503.html</w:t>
      </w:r>
    </w:p>
    <w:p>
      <w:r>
        <w:t>更多相关图书推荐：https://www.jiaokey.com</w:t>
      </w:r>
    </w:p>
    <w:p>
      <w:r>
        <w:t>陈胜利著 其他作品：https://www.jiaokey.com/tag/陈胜利著.html</w:t>
      </w:r>
    </w:p>
    <w:p>
      <w:r>
        <w:t>福州：福建人民出版社 出版图书：https://www.jiaokey.com/tag/福州：福建人民出版社.html</w:t>
      </w:r>
    </w:p>
    <w:p>
      <w:r>
        <w:t>关键词搜索：https://www.jiaokey.com/tag/不写错别字.html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