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阿拉伯国家财产法</w:t>
      </w:r>
    </w:p>
    <w:p>
      <w:r>
        <w:rPr>
          <w:rFonts w:ascii="宋体" w:hAnsi="宋体" w:eastAsia="宋体"/>
          <w:sz w:val="24"/>
        </w:rPr>
        <w:t>（美）法哈特 J.泽德著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阿拉伯国家财产法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（美）法哈特 J.泽德著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中国人民大学法律系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本书出售、求购地址：https://www.jiaokey.com/book/detail/11540544.html</w:t>
      </w:r>
    </w:p>
    <w:p>
      <w:r>
        <w:t>更多相关图书推荐：https://www.jiaokey.com</w:t>
      </w:r>
    </w:p>
    <w:p>
      <w:r>
        <w:t>（美）法哈特 J.泽德著 其他作品：https://www.jiaokey.com/tag/（美）法哈特 J.泽德著.html</w:t>
      </w:r>
    </w:p>
    <w:p>
      <w:r>
        <w:t>中国人民大学法律系 出版图书：https://www.jiaokey.com/tag/中国人民大学法律系.html</w:t>
      </w:r>
    </w:p>
    <w:p>
      <w:r>
        <w:t>关键词搜索：https://www.jiaokey.com/tag/阿拉伯国家财产法.html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