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中国动产担保物权与信贷市场发展</w:t>
      </w:r>
    </w:p>
    <w:p>
      <w:r>
        <w:rPr>
          <w:rFonts w:ascii="宋体" w:hAnsi="宋体" w:eastAsia="宋体"/>
          <w:sz w:val="24"/>
        </w:rPr>
        <w:t>中国人民银行研究局，世界银行集团外国投资咨询服务局，国际金融公司中国项目开发中心编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中国动产担保物权与信贷市场发展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中国人民银行研究局，世界银行集团外国投资咨询服务局，国际金融公司中国项目开发中心编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本书出售、求购地址：https://www.jiaokey.com/book/detail/11542149.html</w:t>
      </w:r>
    </w:p>
    <w:p>
      <w:r>
        <w:t>更多相关图书推荐：https://www.jiaokey.com</w:t>
      </w:r>
    </w:p>
    <w:p>
      <w:r>
        <w:t>中国人民银行研究局，世界银行集团外国投资咨询服务局，国际金融公司中国项目开发中心编 其他作品：https://www.jiaokey.com/tag/中国人民银行研究局，世界银行集团外国投资咨询服务局，国际金融公司中国项目开发中心编.html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关键词搜索：https://www.jiaokey.com/tag/中国动产担保物权与信贷市场发展.html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