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基因财富</w:t>
      </w:r>
    </w:p>
    <w:p>
      <w:r>
        <w:rPr>
          <w:rFonts w:ascii="宋体" w:hAnsi="宋体" w:eastAsia="宋体"/>
          <w:sz w:val="24"/>
        </w:rPr>
        <w:t>谈家桢主编；上海市农业生物基因中心编；刘鸿艳，李天菲编著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谈家桢主编；上海市农业生物基因中心编；刘鸿艳，李天菲编著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本书出售、求购地址：https://www.jiaokey.com/book/detail/11580959.html</w:t>
      </w:r>
    </w:p>
    <w:p>
      <w:r>
        <w:t>更多相关图书推荐：https://www.jiaokey.com</w:t>
      </w:r>
    </w:p>
    <w:p>
      <w:r>
        <w:t>谈家桢主编；上海市农业生物基因中心编；刘鸿艳，李天菲编著 其他作品：https://www.jiaokey.com/tag/谈家桢主编；上海市农业生物基因中心编；刘鸿艳，李天菲编著.html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关键词搜索：https://www.jiaokey.com/tag/基因财富.html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