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2000活动目录开发人员参考库  第4卷  ADSI参考手册</w:t>
      </w:r>
    </w:p>
    <w:p>
      <w:r>
        <w:rPr>
          <w:rFonts w:ascii="宋体" w:hAnsi="宋体" w:eastAsia="宋体"/>
          <w:sz w:val="24"/>
        </w:rPr>
        <w:t>（美）DAVID ISEMINGER主编；明文平 陈连俊 石元君等译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2000活动目录开发人员参考库  第4卷  ADSI参考手册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（美）DAVID ISEMINGER主编；明文平 陈连俊 石元君等译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本书出售、求购地址：https://www.jiaokey.com/book/detail/11613463.html</w:t>
      </w:r>
    </w:p>
    <w:p>
      <w:r>
        <w:t>更多相关图书推荐：https://www.jiaokey.com</w:t>
      </w:r>
    </w:p>
    <w:p>
      <w:r>
        <w:t>（美）DAVID ISEMINGER主编；明文平 陈连俊 石元君等译 其他作品：https://www.jiaokey.com/tag/（美）DAVID ISEMINGER主编；明文平 陈连俊 石元君等译.html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关键词搜索：https://www.jiaokey.com/tag/Windows 2000活动目录开发人员参考库  第4卷  ADSI参考手册.html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