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外商直接投资区域选择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外商直接投资区域选择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本书出售、求购地址：https://www.jiaokey.com/book/detail/11616735.html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关键词搜索：https://www.jiaokey.com/tag/外商直接投资区域选择.html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