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论辩巧智  有理说得清的技术</w:t>
      </w:r>
    </w:p>
    <w:p>
      <w:r>
        <w:rPr>
          <w:rFonts w:ascii="宋体" w:hAnsi="宋体" w:eastAsia="宋体"/>
          <w:sz w:val="24"/>
        </w:rPr>
        <w:t>（荷）爱默伦，（荷）汉克曼斯著；熊明辉，赵艺译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论辩巧智  有理说得清的技术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（荷）爱默伦，（荷）汉克曼斯著；熊明辉，赵艺译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本书出售、求购地址：https://www.jiaokey.com/book/detail/11620773.html</w:t>
      </w:r>
    </w:p>
    <w:p>
      <w:r>
        <w:t>更多相关图书推荐：https://www.jiaokey.com</w:t>
      </w:r>
    </w:p>
    <w:p>
      <w:r>
        <w:t>（荷）爱默伦，（荷）汉克曼斯著；熊明辉，赵艺译 其他作品：https://www.jiaokey.com/tag/（荷）爱默伦，（荷）汉克曼斯著；熊明辉，赵艺译.html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关键词搜索：https://www.jiaokey.com/tag/论辩巧智  有理说得清的技术.html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