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分判与融通：当代新儒家德性与知识关系研究</w:t>
      </w:r>
    </w:p>
    <w:p>
      <w:r>
        <w:rPr>
          <w:rFonts w:ascii="宋体" w:hAnsi="宋体" w:eastAsia="宋体"/>
          <w:sz w:val="24"/>
        </w:rPr>
        <w:t>赵卫东著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分判与融通：当代新儒家德性与知识关系研究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本书出售、求购地址：https://www.jiaokey.com/book/detail/11626662.html</w:t>
      </w:r>
    </w:p>
    <w:p>
      <w:r>
        <w:t>更多相关图书推荐：https://www.jiaokey.com</w:t>
      </w:r>
    </w:p>
    <w:p>
      <w:r>
        <w:t>赵卫东著 其他作品：https://www.jiaokey.com/tag/赵卫东著.html</w:t>
      </w:r>
    </w:p>
    <w:p>
      <w:r>
        <w:t>关键词搜索：https://www.jiaokey.com/tag/分判与融通：当代新儒家德性与知识关系研究.html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