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最高人民法院人身损害赔偿司法解释条文释义  第2版</w:t>
      </w:r>
    </w:p>
    <w:p>
      <w:r>
        <w:rPr>
          <w:rFonts w:ascii="宋体" w:hAnsi="宋体" w:eastAsia="宋体"/>
          <w:sz w:val="24"/>
        </w:rPr>
        <w:t>唐德华主编；黄建中，马晓游，罗锋，邓伟副主编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最高人民法院人身损害赔偿司法解释条文释义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唐德华主编；黄建中，马晓游，罗锋，邓伟副主编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本书出售、求购地址：https://www.jiaokey.com/book/detail/11628294.html</w:t>
      </w:r>
    </w:p>
    <w:p>
      <w:r>
        <w:t>更多相关图书推荐：https://www.jiaokey.com</w:t>
      </w:r>
    </w:p>
    <w:p>
      <w:r>
        <w:t>唐德华主编；黄建中，马晓游，罗锋，邓伟副主编 其他作品：https://www.jiaokey.com/tag/唐德华主编；黄建中，马晓游，罗锋，邓伟副主编.html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关键词搜索：https://www.jiaokey.com/tag/最高人民法院人身损害赔偿司法解释条文释义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