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水稻的抗病和抗虫育种</w:t>
      </w:r>
    </w:p>
    <w:p>
      <w:r>
        <w:rPr>
          <w:rFonts w:ascii="宋体" w:hAnsi="宋体" w:eastAsia="宋体"/>
          <w:sz w:val="24"/>
        </w:rPr>
        <w:t>库什（G.S.Khush）著；江苏省农业科学院科技情报研究室译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水稻的抗病和抗虫育种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库什（G.S.Khush）著；江苏省农业科学院科技情报研究室译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本书出售、求购地址：https://www.jiaokey.com/book/detail/11660307.html</w:t>
      </w:r>
    </w:p>
    <w:p>
      <w:r>
        <w:t>更多相关图书推荐：https://www.jiaokey.com</w:t>
      </w:r>
    </w:p>
    <w:p>
      <w:r>
        <w:t>库什（G.S.Khush）著；江苏省农业科学院科技情报研究室译 其他作品：https://www.jiaokey.com/tag/库什（G.S.Khush）著；江苏省农业科学院科技情报研究室译.html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关键词搜索：https://www.jiaokey.com/tag/水稻的抗病和抗虫育种.html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